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2" w:rsidRDefault="008C4F02" w:rsidP="008C4F02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02" w:rsidRPr="00AA3DFE" w:rsidRDefault="008C4F02" w:rsidP="008C4F02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8C4F02" w:rsidRPr="00AA3DFE" w:rsidRDefault="008C4F02" w:rsidP="008C4F02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8C4F02" w:rsidRPr="00AA3DFE" w:rsidRDefault="008C4F02" w:rsidP="008C4F02">
      <w:pPr>
        <w:jc w:val="right"/>
        <w:rPr>
          <w:sz w:val="32"/>
        </w:rPr>
      </w:pPr>
      <w:r>
        <w:rPr>
          <w:sz w:val="32"/>
        </w:rPr>
        <w:t>проект</w:t>
      </w:r>
    </w:p>
    <w:p w:rsidR="008C4F02" w:rsidRDefault="008C4F02" w:rsidP="008C4F02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8C4F02" w:rsidRPr="005122E1" w:rsidRDefault="008C4F02" w:rsidP="008C4F02">
      <w:pPr>
        <w:jc w:val="both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 xml:space="preserve">«___» _________2017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22E1">
        <w:rPr>
          <w:rFonts w:ascii="Times New Roman" w:hAnsi="Times New Roman"/>
          <w:b/>
          <w:sz w:val="24"/>
          <w:szCs w:val="24"/>
        </w:rPr>
        <w:t xml:space="preserve">       № ____</w:t>
      </w:r>
    </w:p>
    <w:p w:rsidR="008C4F02" w:rsidRPr="005122E1" w:rsidRDefault="008C4F02" w:rsidP="008C4F02">
      <w:pPr>
        <w:spacing w:before="100" w:beforeAutospacing="1" w:after="100" w:afterAutospacing="1" w:line="240" w:lineRule="auto"/>
        <w:ind w:right="3686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>О рассмотрении Положен</w:t>
      </w:r>
      <w:r>
        <w:rPr>
          <w:rFonts w:ascii="Times New Roman" w:hAnsi="Times New Roman"/>
          <w:b/>
        </w:rPr>
        <w:t>ия</w:t>
      </w:r>
      <w:r w:rsidRPr="008C4F02">
        <w:rPr>
          <w:rFonts w:ascii="Times New Roman" w:hAnsi="Times New Roman"/>
          <w:b/>
        </w:rPr>
        <w:t xml:space="preserve"> о порядке материально-технического и организационного обеспечения деятельности органов местного самоуправления муниципального образования город Петергоф</w:t>
      </w:r>
      <w:r w:rsidRPr="005122E1">
        <w:rPr>
          <w:rFonts w:ascii="Times New Roman" w:hAnsi="Times New Roman"/>
          <w:b/>
        </w:rPr>
        <w:t xml:space="preserve"> в первом чтении</w:t>
      </w:r>
    </w:p>
    <w:p w:rsidR="008C4F02" w:rsidRDefault="008C4F02" w:rsidP="008C4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C4F02" w:rsidRPr="009F55CB" w:rsidRDefault="008C4F02" w:rsidP="008C4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8C4F02" w:rsidRPr="009F55CB" w:rsidRDefault="008C4F02" w:rsidP="008C4F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C4F02" w:rsidRPr="00E73183" w:rsidRDefault="008C4F02" w:rsidP="008C4F02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 xml:space="preserve">Принять в первом чтении </w:t>
      </w:r>
      <w:r>
        <w:rPr>
          <w:szCs w:val="24"/>
        </w:rPr>
        <w:t>Положение</w:t>
      </w:r>
      <w:r w:rsidRPr="008C4F02">
        <w:rPr>
          <w:szCs w:val="24"/>
        </w:rPr>
        <w:t xml:space="preserve"> о порядке материально-технического и организационного обеспечения деятельности органов местного самоуправления муниципального образования город Петергоф</w:t>
      </w:r>
      <w:r w:rsidRPr="005122E1">
        <w:rPr>
          <w:szCs w:val="24"/>
        </w:rPr>
        <w:t>»</w:t>
      </w:r>
      <w:r>
        <w:rPr>
          <w:szCs w:val="24"/>
        </w:rPr>
        <w:t xml:space="preserve"> (</w:t>
      </w:r>
      <w:r w:rsidRPr="00E73183">
        <w:rPr>
          <w:szCs w:val="24"/>
        </w:rPr>
        <w:t xml:space="preserve">приложение на </w:t>
      </w:r>
      <w:r>
        <w:rPr>
          <w:szCs w:val="24"/>
        </w:rPr>
        <w:t>4</w:t>
      </w:r>
      <w:r w:rsidRPr="00E73183">
        <w:rPr>
          <w:szCs w:val="24"/>
        </w:rPr>
        <w:t>листах).</w:t>
      </w:r>
    </w:p>
    <w:p w:rsidR="008C4F02" w:rsidRPr="002E3AED" w:rsidRDefault="008C4F02" w:rsidP="008C4F02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Установить срок внесения поправок, дополнений и изменений к данному проекту до</w:t>
      </w:r>
      <w:r>
        <w:rPr>
          <w:szCs w:val="24"/>
        </w:rPr>
        <w:t xml:space="preserve"> ___________ </w:t>
      </w:r>
      <w:r w:rsidRPr="002E3AED">
        <w:rPr>
          <w:szCs w:val="24"/>
        </w:rPr>
        <w:t>201</w:t>
      </w:r>
      <w:r>
        <w:rPr>
          <w:szCs w:val="24"/>
        </w:rPr>
        <w:t>7</w:t>
      </w:r>
      <w:r w:rsidRPr="002E3AED">
        <w:rPr>
          <w:szCs w:val="24"/>
        </w:rPr>
        <w:t xml:space="preserve"> года.</w:t>
      </w:r>
    </w:p>
    <w:p w:rsidR="008C4F02" w:rsidRPr="002E3AED" w:rsidRDefault="008C4F02" w:rsidP="008C4F02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Заместителю гл</w:t>
      </w:r>
      <w:r w:rsidRPr="002E3AED">
        <w:rPr>
          <w:color w:val="auto"/>
          <w:szCs w:val="24"/>
        </w:rPr>
        <w:t>ав</w:t>
      </w:r>
      <w:r w:rsidRPr="002E3AED">
        <w:rPr>
          <w:szCs w:val="24"/>
        </w:rPr>
        <w:t>ы</w:t>
      </w:r>
      <w:r w:rsidRPr="002E3AED">
        <w:rPr>
          <w:color w:val="auto"/>
          <w:szCs w:val="24"/>
        </w:rPr>
        <w:t xml:space="preserve"> муниципального образования город Петергоф, </w:t>
      </w:r>
      <w:r w:rsidRPr="002E3AED">
        <w:rPr>
          <w:szCs w:val="24"/>
        </w:rPr>
        <w:t>исполняющего</w:t>
      </w:r>
      <w:r w:rsidRPr="002E3AED">
        <w:rPr>
          <w:color w:val="auto"/>
          <w:szCs w:val="24"/>
        </w:rPr>
        <w:t xml:space="preserve"> полномочия председателя Муниципального Совета,</w:t>
      </w:r>
      <w:r w:rsidRPr="002E3AED">
        <w:rPr>
          <w:szCs w:val="24"/>
        </w:rPr>
        <w:t xml:space="preserve"> Сорокиной Е.В. обобщить поступившие поправки и внести их на рассмотрение заседания Муниципального Совета МО г. Петергоф.</w:t>
      </w:r>
    </w:p>
    <w:p w:rsidR="008C4F02" w:rsidRPr="00E73183" w:rsidRDefault="008C4F02" w:rsidP="008C4F02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>Настоящее решение вступает в силу со дня принятия.</w:t>
      </w:r>
    </w:p>
    <w:p w:rsidR="008C4F02" w:rsidRPr="002E3AED" w:rsidRDefault="008C4F02" w:rsidP="008C4F02">
      <w:pPr>
        <w:pStyle w:val="2"/>
        <w:numPr>
          <w:ilvl w:val="0"/>
          <w:numId w:val="1"/>
        </w:numPr>
        <w:rPr>
          <w:spacing w:val="-2"/>
        </w:rPr>
      </w:pPr>
      <w:proofErr w:type="gramStart"/>
      <w:r w:rsidRPr="00E73183">
        <w:rPr>
          <w:szCs w:val="24"/>
        </w:rPr>
        <w:t>Контроль за</w:t>
      </w:r>
      <w:proofErr w:type="gramEnd"/>
      <w:r w:rsidRPr="00E73183">
        <w:rPr>
          <w:szCs w:val="24"/>
        </w:rPr>
        <w:t xml:space="preserve">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2E3AED">
        <w:rPr>
          <w:spacing w:val="-2"/>
        </w:rPr>
        <w:t xml:space="preserve"> Совета, Сорокину Е.В.                                                                         </w:t>
      </w:r>
    </w:p>
    <w:p w:rsidR="008C4F02" w:rsidRDefault="008C4F02" w:rsidP="008C4F02">
      <w:pPr>
        <w:pStyle w:val="2"/>
      </w:pPr>
    </w:p>
    <w:p w:rsidR="008C4F02" w:rsidRDefault="008C4F02" w:rsidP="008C4F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8C4F02" w:rsidRDefault="008C4F02" w:rsidP="008C4F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4F02" w:rsidRDefault="008C4F02" w:rsidP="008C4F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C4F02" w:rsidRPr="002B7EA1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8C4F02" w:rsidRPr="002B7EA1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8C4F02" w:rsidRPr="002B7EA1" w:rsidRDefault="008C4F02" w:rsidP="008C4F0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8C4F02" w:rsidRDefault="008C4F02" w:rsidP="008C4F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о</w:t>
      </w:r>
      <w:r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2B7EA1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D208E3" w:rsidRPr="00D208E3" w:rsidRDefault="00D208E3" w:rsidP="008C4F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</w:pPr>
      <w:r w:rsidRPr="00D208E3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  <w:t xml:space="preserve">Положение о порядке материально-технического и организационного обеспечения деятельности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  <w:t>Петергоф</w:t>
      </w:r>
    </w:p>
    <w:p w:rsidR="00D208E3" w:rsidRPr="00D208E3" w:rsidRDefault="00D208E3" w:rsidP="008C4F0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1. Общие положения</w:t>
      </w:r>
    </w:p>
    <w:p w:rsidR="00D208E3" w:rsidRP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C4F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6" w:history="1">
        <w:r w:rsidRPr="00D208E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Федеральным законом от 6 октября 2003 года N 131-ФЗ </w:t>
        </w:r>
        <w:r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«</w:t>
        </w:r>
        <w:r w:rsidRPr="00D208E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D208E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Уставом муниципального образования 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устанавливает порядок осуществления материально-технического и организационного обеспечения деятельности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органы местного самоуправления).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208E3" w:rsidRP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C4F0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2. </w:t>
      </w:r>
      <w:r w:rsidRPr="00D208E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Материально-техническое обеспечение деятельности органов местного самоуправления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C4F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Под материально-техническим обеспечением деятельности органов местного самоуправления в настоящем Положении понимается осуществляемый на постоянной основе комплекс мероприятий, включающий: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2.1.1. имущественное обеспечение;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2.1.2. транспортное обслуживание в служебных целях;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2.1.3. содержание административных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помещений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иных имущественных объектов 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рганов местного самоуправления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2.1.4. обеспечение охраны административных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помещений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иных имущественных объектов органов местного самоуправления, находящихся в них имущества и служебных документов;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2.1.5. приобретение и сопровождение программных продуктов, а также приобретение и обслуживание компьютерной, организационной техники, обеспечение их комплектующими и расходными материалами;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2.1.6. хозяйственно-техническое обеспечение;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2.1.7. приобретение и изготовление бланочной продукции, приобретение сувениров, </w:t>
      </w:r>
      <w:r w:rsidRPr="008C4F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подарков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призов, проведение подписки на периодические издания;</w:t>
      </w:r>
    </w:p>
    <w:p w:rsidR="00D208E3" w:rsidRDefault="000B0250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2.1.8</w:t>
      </w:r>
      <w:r w:rsidR="00D208E3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обеспечение услугами связи органов местного самоуправления (включая контроль и координацию предоставления указанных услуг, своевременное техническое обслуживание и ремонт абонентских радиостанций);</w:t>
      </w: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</w:t>
      </w:r>
      <w:r w:rsidR="000B02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иные мероприятия, направленные на обеспечение функционирования органов местного самоуправления.</w:t>
      </w:r>
    </w:p>
    <w:p w:rsidR="0070506F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Организация материально-технического обеспече</w:t>
      </w:r>
      <w:r w:rsidR="000B02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деятельности 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город Петергоф, исполняющего полномочия председателя Муниципального Совета (далее – глава МО г. Петергоф), Муниципального Совета муниципального образования город Петергоф (далее - МС МО г. Петергоф), местной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администрации муниципального образования город Петергоф  (далее – МА МО г. Петергоф)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21B53" w:rsidRDefault="0070506F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208E3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</w:t>
      </w:r>
      <w:r w:rsidR="00321B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Органы местного самоуправления </w:t>
      </w:r>
      <w:r w:rsidR="00D208E3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обязаны обеспечить учет и сохранность имущества, проведение его инвентаризации в установленные сроки, ремонт и восстановление, списание в установленном порядке.</w:t>
      </w:r>
    </w:p>
    <w:p w:rsidR="00321B5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Обслуживание и ремонт служебных автомобилей обеспечиваются органами местног</w:t>
      </w:r>
      <w:r w:rsidR="00321B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самоуправления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счет средств бюджета муниципального образования </w:t>
      </w:r>
      <w:r w:rsidR="00321B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пределах выделенных бюджетных ассигнований.</w:t>
      </w:r>
    </w:p>
    <w:p w:rsidR="00321B5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Организация и содержание рабочих мест, в том числе обеспечение канцелярскими принадлежностями, </w:t>
      </w:r>
      <w:r w:rsidRPr="000B02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средствами связи, - осуществляется ор</w:t>
      </w:r>
      <w:r w:rsidR="00321B53" w:rsidRPr="000B02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ганами местного самоуправления </w:t>
      </w:r>
      <w:r w:rsidRPr="000B02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законодательством Российской Федерации и требованиями по организации рабочих мест и обеспечения техники безопасности.</w:t>
      </w:r>
    </w:p>
    <w:p w:rsidR="00321B5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Материально-техническое обеспечение органов местного самоуправления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C4F02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2.7. </w:t>
      </w:r>
      <w:r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</w:t>
      </w:r>
      <w:r w:rsidR="00D0157E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 утверждает нормативы затрат, необходимые для материально-технического обеспечения деятельности главы МО г. Петергоф и МС МО г. Петергоф</w:t>
      </w:r>
      <w:r w:rsid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208E3" w:rsidRPr="00D208E3" w:rsidRDefault="00D0157E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МА МО г. Петергоф </w:t>
      </w:r>
      <w:r w:rsidR="00D208E3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утверждает нормативы</w:t>
      </w:r>
      <w:r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затрат</w:t>
      </w:r>
      <w:r w:rsidR="00D208E3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необходимые для материально-технического обеспечения деятельности </w:t>
      </w:r>
      <w:r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 МО г. Петергоф</w:t>
      </w:r>
      <w:r w:rsidR="00D208E3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D208E3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208E3" w:rsidRP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 Организационное обеспечение деятельности органов местного самоуправления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="008C4F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Организационное обеспечение - осуществляемый на постоянной основе комплекс мероприятий по организации деятельности органов местного самоуправления по решению вопросов местного значения и переданных государственных полномочий, включающий: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3.1.1. кадровое обеспечение;</w:t>
      </w:r>
    </w:p>
    <w:p w:rsidR="000B0250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3.1.2. организацию и ведение бухгалтерского учета;</w:t>
      </w:r>
    </w:p>
    <w:p w:rsidR="000B0250" w:rsidRDefault="000B0250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3.1.3.</w:t>
      </w:r>
      <w:r w:rsidR="00D208E3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программно-информационное и информационно-методическое обеспечение;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3.1.4. организацию делопроизводства;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3.1.5. документально-правовое обеспечение;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3.1.6. архивное обеспечение;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3.1.7. организацию личного приема граждан должностными лицами органов местного самоуправления, а также обеспечение рассмотрения индивидуальных и коллективных обращений граждан;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3.1.9. обеспечение взаимодействия с органами местного самоуправления муниципальных образований</w:t>
      </w:r>
      <w:r w:rsidR="009C22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Санкт-Петербурга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иных субъектов Российской Федерации, федеральными органами государственной власти, органами государственной власти</w:t>
      </w:r>
      <w:r w:rsidR="009C22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Санкт-Петербурга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межмуниципальными организациями, общественными и иными организациями, действующими на территории муниципального образования </w:t>
      </w:r>
      <w:r w:rsidR="009C22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3.1.10. обеспечение документального оформления (стенографирование, протоколирование) заседаний, слушаний, публичных слушаний, проводимых органами местного самоуправления, иных мероприятий;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3.1.11. иные мероприятия, направленные на организационное обеспечение функционирования органов местного самоуправления.</w:t>
      </w:r>
    </w:p>
    <w:p w:rsidR="008C4F02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Организационное обеспечение деятельности органов местного самоуправления осуществляется соответствующими структурными подразделениями </w:t>
      </w:r>
      <w:r w:rsidR="009C22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МС МО г. Петергоф и МА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 случае необходимости для подготовки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материалов могут создаваться рабочие группы (комиссии) с привлечением специалистов.</w:t>
      </w:r>
    </w:p>
    <w:p w:rsidR="009C221A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Обеспечение информирования населения муниципального образования о деятельности органов местного самоуправления осуществляется </w:t>
      </w:r>
      <w:r w:rsid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Муниципальным казённым учреждением МО г. Петергоф «Муниципальная информационная служба»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нормативными правовыми актами органов местного самоуправления.</w:t>
      </w:r>
    </w:p>
    <w:p w:rsidR="007159A6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3.3. Обеспечение деятельности коллегиальных и совещательных органов при </w:t>
      </w:r>
      <w:r w:rsidR="00DA4D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лаве</w:t>
      </w:r>
      <w:r w:rsidR="00DA4D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создаваемых</w:t>
      </w:r>
      <w:r w:rsidR="00DA4D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Муниципальным Советом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осуществляется структурными подразделениями аппарата </w:t>
      </w:r>
      <w:r w:rsidR="00DA4D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МС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правовыми актами </w:t>
      </w:r>
      <w:r w:rsidR="00DA4D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 МО г. Петергоф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МС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159A6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 Личный прием граждан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лавой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заместител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 главы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0B02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депутатами МС МО г. Петергоф,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лавой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 МО г. Петергоф, зам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естител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ем </w:t>
      </w:r>
      <w:r w:rsidR="007159A6"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г</w:t>
      </w:r>
      <w:r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лавы </w:t>
      </w:r>
      <w:r w:rsidR="007159A6"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МА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проводится в соответствии с утвержденными графиками.</w:t>
      </w:r>
    </w:p>
    <w:p w:rsidR="007159A6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Организацию проведения личного приема граждан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лавой</w:t>
      </w:r>
      <w:r w:rsidR="007159A6" w:rsidRP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Петергоф, заместителем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лавы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="007159A6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обеспечивает аппарат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МС МО г. Петергоф</w:t>
      </w:r>
      <w:r w:rsidR="007159A6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Организацию проведения личного приема граждан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лавой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заместител</w:t>
      </w:r>
      <w:r w:rsidR="007159A6"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ем г</w:t>
      </w:r>
      <w:r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лавы </w:t>
      </w:r>
      <w:r w:rsidR="007159A6"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МА МО г. Петергоф</w:t>
      </w:r>
      <w:r w:rsidR="007159A6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обеспечивает соответствующее структурное подразделение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B6E8D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Личный прием граждан депутатами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МС МО г. Петергоф</w:t>
      </w:r>
      <w:r w:rsidR="007159A6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проводится ими самостоятельно либо по их поручению помощниками депутатов.</w:t>
      </w:r>
      <w:r w:rsidR="007159A6" w:rsidRP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59A6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Организацию проведения личного приема граждан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депутатами МС</w:t>
      </w:r>
      <w:r w:rsidR="007159A6" w:rsidRP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="00FB6E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59A6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обеспечивает аппарат </w:t>
      </w:r>
      <w:r w:rsidR="007159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МС МО г. Петергоф</w:t>
      </w:r>
      <w:r w:rsidR="00FB6E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C4F02" w:rsidRDefault="00FB6E8D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</w:t>
      </w:r>
      <w:r w:rsidR="00D208E3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Мероприятия по организационному обеспечению органов местного самоуправления, указанные в пункте 3.1, осуществляются в соответствии с федеральным законодательством 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Петергоф.</w:t>
      </w:r>
    </w:p>
    <w:p w:rsidR="008C4F02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FB6E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FB6E8D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МО г. Петергоф утверждает нормативы затрат, необходимые для </w:t>
      </w:r>
      <w:r w:rsidR="00FB6E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организационного </w:t>
      </w:r>
      <w:r w:rsidR="00FB6E8D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обеспечения деятельности главы МО г. Петергоф и МС МО г. Петергоф</w:t>
      </w:r>
      <w:r w:rsidR="00FB6E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B6E8D" w:rsidRDefault="00FB6E8D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МА МО г. Петергоф утверждает нормативы затрат, необходимые для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организационного </w:t>
      </w:r>
      <w:r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обеспечения деятельности МА 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208E3" w:rsidRP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208E3" w:rsidRPr="00FB6E8D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FB6E8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 Формирование потребностей в материально-техническом обеспечении деятельности и финансирование расходов на материально-техническое и организационное обеспечение органов местного самоуправления.</w:t>
      </w:r>
    </w:p>
    <w:p w:rsidR="00FB6E8D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E8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="008C4F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бюджета </w:t>
      </w:r>
      <w:r w:rsidR="00FB6E8D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="00FB6E8D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субвенций, выделяемых из бюджета </w:t>
      </w:r>
      <w:r w:rsidR="00FB6E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Санкт-Петербурга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исполнения переданных государственных полномочий.</w:t>
      </w:r>
    </w:p>
    <w:p w:rsidR="00FB6E8D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Потребности в материально-техническом обеспечении деятельности органов местного самоуправления формируются в соответствии с утвержденными нормативами и доведенным предельным объемом бюджетных ассигнований, и учитываются при составлении проекта местного бюджета на очередной финансовый год.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 </w:t>
      </w:r>
      <w:r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Не допускается финансирование расходов на материально-техническое и организационное обеспечение органов местного самоуправления </w:t>
      </w:r>
      <w:r w:rsidR="00FB6E8D"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МО г. Петергоф </w:t>
      </w:r>
      <w:r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8C4F02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Исполнение бюджета </w:t>
      </w:r>
      <w:r w:rsidR="00D45F35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="00D45F35"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части финансирования расходов на материально-техническое и организационное обеспечение деятельности органов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местного самоуправления осуществляется в пределах фактического наличия бюджетных средств.</w:t>
      </w:r>
    </w:p>
    <w:p w:rsidR="00D45F35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 Расходы на материально-техническое и организационное обеспечение деятельности </w:t>
      </w:r>
      <w:r w:rsid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лавы </w:t>
      </w:r>
      <w:r w:rsidR="00D45F35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МС </w:t>
      </w:r>
      <w:r w:rsidR="00D45F35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</w:t>
      </w:r>
      <w:r w:rsidR="00D45F35"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45F35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предусматриваются в бюджете</w:t>
      </w:r>
      <w:r w:rsidR="00D45F35" w:rsidRP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45F35" w:rsidRPr="00D015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г. Петергоф</w:t>
      </w:r>
      <w:r w:rsidR="00D45F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классификацией расходов бюджетов Российской Федерации.</w:t>
      </w:r>
    </w:p>
    <w:p w:rsidR="00D208E3" w:rsidRP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B245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5. Контроль расходования бюджетных средств на материально-техническое и организационное обеспечение деятельности органов местного самоуправления муниципального образования </w:t>
      </w:r>
      <w:r w:rsidR="00B245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город Петергоф</w:t>
      </w:r>
    </w:p>
    <w:p w:rsidR="00D208E3" w:rsidRPr="00D208E3" w:rsidRDefault="00D208E3" w:rsidP="008C4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C4F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208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74732" w:rsidRDefault="00374732" w:rsidP="008C4F02">
      <w:pPr>
        <w:spacing w:line="240" w:lineRule="auto"/>
        <w:jc w:val="both"/>
      </w:pPr>
    </w:p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E3"/>
    <w:rsid w:val="000009FD"/>
    <w:rsid w:val="00005C7C"/>
    <w:rsid w:val="00022023"/>
    <w:rsid w:val="000223A8"/>
    <w:rsid w:val="00087AE6"/>
    <w:rsid w:val="000A5997"/>
    <w:rsid w:val="000B0250"/>
    <w:rsid w:val="000B4E6B"/>
    <w:rsid w:val="000C36A4"/>
    <w:rsid w:val="000D4067"/>
    <w:rsid w:val="001538F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1B53"/>
    <w:rsid w:val="00322929"/>
    <w:rsid w:val="00332AF1"/>
    <w:rsid w:val="00350446"/>
    <w:rsid w:val="0036728C"/>
    <w:rsid w:val="00374732"/>
    <w:rsid w:val="003A7CB2"/>
    <w:rsid w:val="003B2A8B"/>
    <w:rsid w:val="003C0572"/>
    <w:rsid w:val="003F1FC3"/>
    <w:rsid w:val="003F7E22"/>
    <w:rsid w:val="00414B2B"/>
    <w:rsid w:val="00416F51"/>
    <w:rsid w:val="004423EF"/>
    <w:rsid w:val="004551C2"/>
    <w:rsid w:val="00463D94"/>
    <w:rsid w:val="00467049"/>
    <w:rsid w:val="00484970"/>
    <w:rsid w:val="00494B58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06F"/>
    <w:rsid w:val="007058B3"/>
    <w:rsid w:val="007159A6"/>
    <w:rsid w:val="00753101"/>
    <w:rsid w:val="007554D5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C4F02"/>
    <w:rsid w:val="008E725F"/>
    <w:rsid w:val="00901840"/>
    <w:rsid w:val="00923FFF"/>
    <w:rsid w:val="00942A89"/>
    <w:rsid w:val="009C0092"/>
    <w:rsid w:val="009C221A"/>
    <w:rsid w:val="009D0751"/>
    <w:rsid w:val="00A17A9B"/>
    <w:rsid w:val="00A41B20"/>
    <w:rsid w:val="00AB45EE"/>
    <w:rsid w:val="00AE11F7"/>
    <w:rsid w:val="00B01714"/>
    <w:rsid w:val="00B0336E"/>
    <w:rsid w:val="00B11CCB"/>
    <w:rsid w:val="00B2455C"/>
    <w:rsid w:val="00B5127D"/>
    <w:rsid w:val="00B7667F"/>
    <w:rsid w:val="00B76FE1"/>
    <w:rsid w:val="00B820BF"/>
    <w:rsid w:val="00BA742C"/>
    <w:rsid w:val="00BC37BE"/>
    <w:rsid w:val="00C00097"/>
    <w:rsid w:val="00C52A39"/>
    <w:rsid w:val="00CA70B0"/>
    <w:rsid w:val="00CC08AA"/>
    <w:rsid w:val="00CC19A7"/>
    <w:rsid w:val="00CD17B3"/>
    <w:rsid w:val="00CE07C9"/>
    <w:rsid w:val="00CF2CA7"/>
    <w:rsid w:val="00D0157E"/>
    <w:rsid w:val="00D057CC"/>
    <w:rsid w:val="00D06282"/>
    <w:rsid w:val="00D136DA"/>
    <w:rsid w:val="00D208E3"/>
    <w:rsid w:val="00D2163C"/>
    <w:rsid w:val="00D32FFB"/>
    <w:rsid w:val="00D45F35"/>
    <w:rsid w:val="00D474D3"/>
    <w:rsid w:val="00D573AE"/>
    <w:rsid w:val="00D84521"/>
    <w:rsid w:val="00D93EED"/>
    <w:rsid w:val="00DA4D24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B6E8D"/>
    <w:rsid w:val="00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uiPriority w:val="9"/>
    <w:qFormat/>
    <w:rsid w:val="008C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0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0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2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8E3"/>
  </w:style>
  <w:style w:type="character" w:styleId="a3">
    <w:name w:val="Hyperlink"/>
    <w:basedOn w:val="a0"/>
    <w:uiPriority w:val="99"/>
    <w:semiHidden/>
    <w:unhideWhenUsed/>
    <w:rsid w:val="00D20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8C4F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C4F0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2017-05-24T06:23:00Z</cp:lastPrinted>
  <dcterms:created xsi:type="dcterms:W3CDTF">2017-05-24T08:54:00Z</dcterms:created>
  <dcterms:modified xsi:type="dcterms:W3CDTF">2017-05-24T08:54:00Z</dcterms:modified>
</cp:coreProperties>
</file>